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FA" w:rsidRPr="00AD4CE9" w:rsidRDefault="000E46FA" w:rsidP="00AD4CE9">
      <w:pPr>
        <w:spacing w:before="0" w:after="0" w:line="228" w:lineRule="auto"/>
        <w:rPr>
          <w:rFonts w:ascii="Tahoma" w:hAnsi="Tahoma" w:cs="Tahoma"/>
        </w:rPr>
      </w:pPr>
      <w:bookmarkStart w:id="0" w:name="_GoBack"/>
      <w:bookmarkEnd w:id="0"/>
    </w:p>
    <w:p w:rsidR="0067758A" w:rsidRDefault="0067758A" w:rsidP="00AD4CE9">
      <w:pPr>
        <w:pStyle w:val="Prrafodelista"/>
        <w:numPr>
          <w:ilvl w:val="0"/>
          <w:numId w:val="50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 xml:space="preserve">BALANCE GENERAL COMPARATIVO </w:t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E04173" w:rsidP="00AD4CE9">
      <w:pPr>
        <w:spacing w:before="0" w:after="0" w:line="228" w:lineRule="auto"/>
        <w:rPr>
          <w:rFonts w:ascii="Tahoma" w:hAnsi="Tahoma" w:cs="Tahoma"/>
          <w:noProof/>
        </w:rPr>
      </w:pPr>
      <w:r w:rsidRPr="00E04173">
        <w:rPr>
          <w:noProof/>
        </w:rPr>
        <w:drawing>
          <wp:inline distT="0" distB="0" distL="0" distR="0" wp14:anchorId="53FB7D2B" wp14:editId="71FDB55B">
            <wp:extent cx="5613400" cy="4761069"/>
            <wp:effectExtent l="0" t="0" r="635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761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noProof/>
        </w:rPr>
      </w:pPr>
    </w:p>
    <w:p w:rsidR="00E04173" w:rsidRDefault="00E04173" w:rsidP="00AD4CE9">
      <w:pPr>
        <w:spacing w:before="0" w:after="0" w:line="228" w:lineRule="auto"/>
        <w:rPr>
          <w:noProof/>
        </w:rPr>
      </w:pPr>
    </w:p>
    <w:p w:rsidR="00C00307" w:rsidRPr="00E04173" w:rsidRDefault="00E04173" w:rsidP="00E04173">
      <w:pPr>
        <w:spacing w:before="0" w:after="0" w:line="228" w:lineRule="auto"/>
        <w:rPr>
          <w:noProof/>
        </w:rPr>
      </w:pPr>
      <w:r>
        <w:rPr>
          <w:noProof/>
        </w:rPr>
        <w:drawing>
          <wp:inline distT="0" distB="0" distL="0" distR="0" wp14:anchorId="02832453" wp14:editId="7C15366D">
            <wp:extent cx="4486275" cy="2733675"/>
            <wp:effectExtent l="0" t="0" r="9525" b="9525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00307" w:rsidRDefault="00C00307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E04173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Administración Municipal de Venadillo</w:t>
      </w:r>
      <w:r w:rsidR="00FF60E6">
        <w:rPr>
          <w:rFonts w:ascii="Tahoma" w:hAnsi="Tahoma" w:cs="Tahoma"/>
        </w:rPr>
        <w:t xml:space="preserve">, al </w:t>
      </w:r>
      <w:r w:rsidR="00EC5776">
        <w:rPr>
          <w:rFonts w:ascii="Tahoma" w:hAnsi="Tahoma" w:cs="Tahoma"/>
        </w:rPr>
        <w:t xml:space="preserve"> </w:t>
      </w:r>
      <w:r w:rsidR="00FF60E6">
        <w:rPr>
          <w:rFonts w:ascii="Tahoma" w:hAnsi="Tahoma" w:cs="Tahoma"/>
        </w:rPr>
        <w:t>cierre de la anualidad 2015 presentó activos</w:t>
      </w:r>
      <w:r>
        <w:rPr>
          <w:rFonts w:ascii="Tahoma" w:hAnsi="Tahoma" w:cs="Tahoma"/>
        </w:rPr>
        <w:t xml:space="preserve"> totales en cuantía de $18.130,4</w:t>
      </w:r>
      <w:r w:rsidR="00FF60E6">
        <w:rPr>
          <w:rFonts w:ascii="Tahoma" w:hAnsi="Tahoma" w:cs="Tahoma"/>
        </w:rPr>
        <w:t xml:space="preserve"> millones, con un incremento </w:t>
      </w:r>
      <w:r>
        <w:rPr>
          <w:rFonts w:ascii="Tahoma" w:hAnsi="Tahoma" w:cs="Tahoma"/>
        </w:rPr>
        <w:t>del 12.11</w:t>
      </w:r>
      <w:r w:rsidR="00FF60E6">
        <w:rPr>
          <w:rFonts w:ascii="Tahoma" w:hAnsi="Tahoma" w:cs="Tahoma"/>
        </w:rPr>
        <w:t xml:space="preserve">% frente al valor registrado en el 2014, </w:t>
      </w:r>
      <w:r>
        <w:rPr>
          <w:rFonts w:ascii="Tahoma" w:hAnsi="Tahoma" w:cs="Tahoma"/>
        </w:rPr>
        <w:t>que alcanzó la suma de $16.172</w:t>
      </w:r>
      <w:r w:rsidR="00FF60E6">
        <w:rPr>
          <w:rFonts w:ascii="Tahoma" w:hAnsi="Tahoma" w:cs="Tahoma"/>
        </w:rPr>
        <w:t xml:space="preserve"> millones.</w:t>
      </w:r>
    </w:p>
    <w:p w:rsidR="002B4B10" w:rsidRDefault="002B4B10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2B4B10" w:rsidRDefault="002B4B10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estructura del Activo al cierre del periodo fiscal es la siguiente: el 33.18% (6.015,9 millones) corresponde al Activo Corriente y el 66,81% corresponde Activos No Corriente.</w:t>
      </w:r>
    </w:p>
    <w:p w:rsidR="00E04173" w:rsidRDefault="00E04173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2B4B10" w:rsidRDefault="002B4B10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Dentro del Activo </w:t>
      </w:r>
      <w:r w:rsidR="00A2447F">
        <w:rPr>
          <w:rFonts w:ascii="Tahoma" w:hAnsi="Tahoma" w:cs="Tahoma"/>
        </w:rPr>
        <w:t>Corriente,</w:t>
      </w:r>
      <w:r>
        <w:rPr>
          <w:rFonts w:ascii="Tahoma" w:hAnsi="Tahoma" w:cs="Tahoma"/>
        </w:rPr>
        <w:t xml:space="preserve"> la cuenta de mayor representatividad es el “Efectivo” cuyo saldo </w:t>
      </w:r>
      <w:r w:rsidR="00A2447F">
        <w:rPr>
          <w:rFonts w:ascii="Tahoma" w:hAnsi="Tahoma" w:cs="Tahoma"/>
        </w:rPr>
        <w:t>representa el 18.73% sobre el total del activo.  El comportamiento de la cuenta entre las anualidades 2014 y 2015 fue de un decrecimiento del 21.28% representados en ($918,1 millones)  menos de lo registrado en el 2014, al pasar de un saldo de ($4.314 millones) en el 2014 a ($3.395,8 millones) en el 2015.</w:t>
      </w:r>
    </w:p>
    <w:p w:rsidR="009F7C62" w:rsidRDefault="009F7C62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9F7C62" w:rsidRDefault="009F7C62" w:rsidP="009F7C62">
      <w:pPr>
        <w:jc w:val="both"/>
        <w:rPr>
          <w:rFonts w:ascii="Tahoma" w:eastAsia="Times New Roman" w:hAnsi="Tahoma" w:cs="Tahoma"/>
          <w:color w:val="auto"/>
        </w:rPr>
      </w:pPr>
      <w:r>
        <w:rPr>
          <w:rFonts w:ascii="Tahoma" w:hAnsi="Tahoma" w:cs="Tahoma"/>
        </w:rPr>
        <w:t xml:space="preserve">El Balance General a 31 de diciembre de 2015, refleja que de los ($3.395,8 millones) registrados como efectivo, el 77.13% </w:t>
      </w:r>
      <w:r w:rsidRPr="009F7C62">
        <w:rPr>
          <w:rFonts w:ascii="Tahoma" w:hAnsi="Tahoma" w:cs="Tahoma"/>
        </w:rPr>
        <w:t>($</w:t>
      </w:r>
      <w:r>
        <w:rPr>
          <w:rFonts w:ascii="Tahoma" w:eastAsia="Times New Roman" w:hAnsi="Tahoma" w:cs="Tahoma"/>
          <w:color w:val="auto"/>
        </w:rPr>
        <w:t xml:space="preserve">2.619. millones) se encontraban consignados en cuentas de ahorro y el excedente del saldo 22.86% </w:t>
      </w:r>
      <w:r w:rsidRPr="009F7C62">
        <w:rPr>
          <w:rFonts w:ascii="Tahoma" w:eastAsia="Times New Roman" w:hAnsi="Tahoma" w:cs="Tahoma"/>
          <w:color w:val="auto"/>
        </w:rPr>
        <w:t>($</w:t>
      </w:r>
      <w:r>
        <w:rPr>
          <w:rFonts w:ascii="Tahoma" w:eastAsia="Times New Roman" w:hAnsi="Tahoma" w:cs="Tahoma"/>
          <w:color w:val="auto"/>
        </w:rPr>
        <w:t>776.3 millones) en cuentas corrientes.</w:t>
      </w:r>
    </w:p>
    <w:p w:rsidR="009F7C62" w:rsidRPr="009F7C62" w:rsidRDefault="009F7C62" w:rsidP="009F7C62">
      <w:pPr>
        <w:jc w:val="both"/>
        <w:rPr>
          <w:rFonts w:ascii="Tahoma" w:eastAsia="Times New Roman" w:hAnsi="Tahoma" w:cs="Tahoma"/>
          <w:color w:val="auto"/>
        </w:rPr>
      </w:pPr>
    </w:p>
    <w:p w:rsidR="009F7C62" w:rsidRDefault="009F7C62" w:rsidP="009F7C62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saldo de las cuentas de “Inversiones e Instrumentos Derivados” permaneció constante entre las vigencias 2015 y 2015.</w:t>
      </w:r>
    </w:p>
    <w:p w:rsidR="00FF60E6" w:rsidRDefault="00FF60E6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3C7505" w:rsidRDefault="003C7505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FF60E6" w:rsidRDefault="009F7C62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En cuanto al saldo de la cuenta </w:t>
      </w:r>
      <w:r w:rsidR="003C7505">
        <w:rPr>
          <w:rFonts w:ascii="Tahoma" w:hAnsi="Tahoma" w:cs="Tahoma"/>
        </w:rPr>
        <w:t>“Rentas por Cobrar”</w:t>
      </w:r>
      <w:r>
        <w:rPr>
          <w:rFonts w:ascii="Tahoma" w:hAnsi="Tahoma" w:cs="Tahoma"/>
        </w:rPr>
        <w:t>, se tiene que el mismo representa el 9.07% del total del activo. El comportamiento de la cuenta entre las a</w:t>
      </w:r>
      <w:r w:rsidR="00B83C6E">
        <w:rPr>
          <w:rFonts w:ascii="Tahoma" w:hAnsi="Tahoma" w:cs="Tahoma"/>
        </w:rPr>
        <w:t xml:space="preserve">nualidades 2014 y 2015 fue de </w:t>
      </w:r>
      <w:r>
        <w:rPr>
          <w:rFonts w:ascii="Tahoma" w:hAnsi="Tahoma" w:cs="Tahoma"/>
        </w:rPr>
        <w:t xml:space="preserve"> incremento porcentual del 1</w:t>
      </w:r>
      <w:r w:rsidR="00B83C6E">
        <w:rPr>
          <w:rFonts w:ascii="Tahoma" w:hAnsi="Tahoma" w:cs="Tahoma"/>
        </w:rPr>
        <w:t>5.03% representados en $214,8 millones, pasando de ($1.430 millones en el 2014) a ($1.644,9 millones en el 2015), de los cuales el 26.68% corresponde a rentas de vigencia actual y 73.31% a vigencias anteriores.</w:t>
      </w:r>
    </w:p>
    <w:p w:rsidR="00B83C6E" w:rsidRDefault="00B83C6E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1D0B0B" w:rsidRDefault="001D0B0B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“Deudores” registran a 31 de diciem</w:t>
      </w:r>
      <w:r w:rsidR="00B83C6E">
        <w:rPr>
          <w:rFonts w:ascii="Tahoma" w:hAnsi="Tahoma" w:cs="Tahoma"/>
        </w:rPr>
        <w:t xml:space="preserve">bre de 2015 un saldo de $958,5 millones,  el 6.57% menos </w:t>
      </w:r>
      <w:r>
        <w:rPr>
          <w:rFonts w:ascii="Tahoma" w:hAnsi="Tahoma" w:cs="Tahoma"/>
        </w:rPr>
        <w:t xml:space="preserve"> de lo contabilizado en el 2014 cuenta que finalizó</w:t>
      </w:r>
      <w:r w:rsidR="00B83C6E">
        <w:rPr>
          <w:rFonts w:ascii="Tahoma" w:hAnsi="Tahoma" w:cs="Tahoma"/>
        </w:rPr>
        <w:t xml:space="preserve"> esa anualidad </w:t>
      </w:r>
      <w:r>
        <w:rPr>
          <w:rFonts w:ascii="Tahoma" w:hAnsi="Tahoma" w:cs="Tahoma"/>
        </w:rPr>
        <w:t xml:space="preserve"> </w:t>
      </w:r>
      <w:r w:rsidR="00B83C6E">
        <w:rPr>
          <w:rFonts w:ascii="Tahoma" w:hAnsi="Tahoma" w:cs="Tahoma"/>
        </w:rPr>
        <w:t>con un saldo de $1.025, 8</w:t>
      </w:r>
      <w:r>
        <w:rPr>
          <w:rFonts w:ascii="Tahoma" w:hAnsi="Tahoma" w:cs="Tahoma"/>
        </w:rPr>
        <w:t xml:space="preserve"> millones.</w:t>
      </w:r>
    </w:p>
    <w:p w:rsidR="00B83C6E" w:rsidRDefault="00B83C6E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1D0B0B" w:rsidRDefault="001D0B0B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“Cuentas Bienes de uso público y Propiedad, Planta y Equipo” registran al finalizar la vigencia 2015 la</w:t>
      </w:r>
      <w:r w:rsidR="00B83C6E">
        <w:rPr>
          <w:rFonts w:ascii="Tahoma" w:hAnsi="Tahoma" w:cs="Tahoma"/>
        </w:rPr>
        <w:t xml:space="preserve">s </w:t>
      </w:r>
      <w:r>
        <w:rPr>
          <w:rFonts w:ascii="Tahoma" w:hAnsi="Tahoma" w:cs="Tahoma"/>
        </w:rPr>
        <w:t xml:space="preserve"> suma</w:t>
      </w:r>
      <w:r w:rsidR="00B83C6E">
        <w:rPr>
          <w:rFonts w:ascii="Tahoma" w:hAnsi="Tahoma" w:cs="Tahoma"/>
        </w:rPr>
        <w:t>s de $6.946,2millones  y $4.392,9</w:t>
      </w:r>
      <w:r>
        <w:rPr>
          <w:rFonts w:ascii="Tahoma" w:hAnsi="Tahoma" w:cs="Tahoma"/>
        </w:rPr>
        <w:t xml:space="preserve"> millones respectivamente, con un</w:t>
      </w:r>
      <w:r w:rsidR="00B83C6E">
        <w:rPr>
          <w:rFonts w:ascii="Tahoma" w:hAnsi="Tahoma" w:cs="Tahoma"/>
        </w:rPr>
        <w:t xml:space="preserve">os </w:t>
      </w:r>
      <w:r>
        <w:rPr>
          <w:rFonts w:ascii="Tahoma" w:hAnsi="Tahoma" w:cs="Tahoma"/>
        </w:rPr>
        <w:t xml:space="preserve"> incremento</w:t>
      </w:r>
      <w:r w:rsidR="00B83C6E">
        <w:rPr>
          <w:rFonts w:ascii="Tahoma" w:hAnsi="Tahoma" w:cs="Tahoma"/>
        </w:rPr>
        <w:t>s  del 40.90%% y 18.55</w:t>
      </w:r>
      <w:r>
        <w:rPr>
          <w:rFonts w:ascii="Tahoma" w:hAnsi="Tahoma" w:cs="Tahoma"/>
        </w:rPr>
        <w:t>% entre las vigencias 2014 y 2015.</w:t>
      </w:r>
    </w:p>
    <w:p w:rsidR="001D0B0B" w:rsidRDefault="001D0B0B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BD2CED" w:rsidRDefault="000C4AD6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En cuanto a la cuenta </w:t>
      </w:r>
      <w:r w:rsidR="001D0B0B">
        <w:rPr>
          <w:rFonts w:ascii="Tahoma" w:hAnsi="Tahoma" w:cs="Tahoma"/>
        </w:rPr>
        <w:t>“Otros Activos”</w:t>
      </w:r>
      <w:r>
        <w:rPr>
          <w:rFonts w:ascii="Tahoma" w:hAnsi="Tahoma" w:cs="Tahoma"/>
        </w:rPr>
        <w:t xml:space="preserve"> el comportamiento de saldos entre las dos anualidades no fue tan significativo, alcanzando tan solo el 3.36% que representa solo un incremento de $25,1 millones, para registrar al finalizar la anualidad 2015 con $775,3 millones, aportando de esta manera  el 4.3% sobre el valor total del activo.</w:t>
      </w:r>
    </w:p>
    <w:p w:rsidR="000C4AD6" w:rsidRDefault="000C4AD6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BD2CED" w:rsidRDefault="00BD2CED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grupo de cuentas del</w:t>
      </w:r>
      <w:r w:rsidR="000C4AD6">
        <w:rPr>
          <w:rFonts w:ascii="Tahoma" w:hAnsi="Tahoma" w:cs="Tahoma"/>
        </w:rPr>
        <w:t xml:space="preserve"> Pasivo disminuyeron en un 2.69</w:t>
      </w:r>
      <w:r>
        <w:rPr>
          <w:rFonts w:ascii="Tahoma" w:hAnsi="Tahoma" w:cs="Tahoma"/>
        </w:rPr>
        <w:t>%</w:t>
      </w:r>
      <w:r w:rsidR="000C4AD6">
        <w:rPr>
          <w:rFonts w:ascii="Tahoma" w:hAnsi="Tahoma" w:cs="Tahoma"/>
        </w:rPr>
        <w:t xml:space="preserve"> ($69,9 millones)</w:t>
      </w:r>
      <w:r>
        <w:rPr>
          <w:rFonts w:ascii="Tahoma" w:hAnsi="Tahoma" w:cs="Tahoma"/>
        </w:rPr>
        <w:t xml:space="preserve"> el saldo registrado en el 2014 </w:t>
      </w:r>
      <w:r w:rsidR="000C4AD6">
        <w:rPr>
          <w:rFonts w:ascii="Tahoma" w:hAnsi="Tahoma" w:cs="Tahoma"/>
        </w:rPr>
        <w:t>de ($2.602,3</w:t>
      </w:r>
      <w:r>
        <w:rPr>
          <w:rFonts w:ascii="Tahoma" w:hAnsi="Tahoma" w:cs="Tahoma"/>
        </w:rPr>
        <w:t xml:space="preserve"> millones) alcanzando a 31 de diciembre de 2015</w:t>
      </w:r>
      <w:r w:rsidR="000C4AD6">
        <w:rPr>
          <w:rFonts w:ascii="Tahoma" w:hAnsi="Tahoma" w:cs="Tahoma"/>
        </w:rPr>
        <w:t>, deudas del ente territorial en cuantía de $2.532,4 millones.</w:t>
      </w:r>
      <w:r>
        <w:rPr>
          <w:rFonts w:ascii="Tahoma" w:hAnsi="Tahoma" w:cs="Tahoma"/>
        </w:rPr>
        <w:t>.</w:t>
      </w:r>
    </w:p>
    <w:p w:rsidR="00BD2CED" w:rsidRDefault="00BD2CED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0C4AD6" w:rsidRDefault="000C4AD6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Las cuentas que conforman el “Pasivo Corriente” a 31 de diciembre de 2015 se </w:t>
      </w:r>
      <w:r w:rsidR="003C4D2F">
        <w:rPr>
          <w:rFonts w:ascii="Tahoma" w:hAnsi="Tahoma" w:cs="Tahoma"/>
        </w:rPr>
        <w:t>cuantifica en $1.670,1 millones, representando de esta forma el 65.94% del valor total del pasivo. Dentro de este grupo de cuentas,  la única que presentó incremento en el saldo fue las “Cuentas por Pagar” alcanzando un incremento del 33.59%, pasando de ($398,5 millones en el 2014) a ($532,4 millones en el 2015).</w:t>
      </w:r>
    </w:p>
    <w:p w:rsidR="00C00307" w:rsidRDefault="00C00307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3C4D2F" w:rsidRDefault="003C4D2F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cuentas Operaciones de Crédito Público y Obligaciones Laborales, disminuyeron entre el 2014 y 2015 el saldo en el 36.71% y 14.28% respectivamente, alcanzando de esta forma registros en cuantía de $460,4 millones para crédito público y $677,1 millones para obligaciones laborales.</w:t>
      </w:r>
    </w:p>
    <w:p w:rsidR="003C4D2F" w:rsidRDefault="003C4D2F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3C4D2F" w:rsidRDefault="003C4D2F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pasivo No Corriente, a 31 de diciembre de 2015, se cuantifica en $531,4 millones, representando de esta forma el 20.98% del total del pasivo.</w:t>
      </w:r>
      <w:r w:rsidR="00703C82">
        <w:rPr>
          <w:rFonts w:ascii="Tahoma" w:hAnsi="Tahoma" w:cs="Tahoma"/>
        </w:rPr>
        <w:t xml:space="preserve"> Según información del Balance Comparativo entre el 2014 y el 2015, los Pasivos Estimados y “Otros Pasivos” alcanzaron un crecimiento en sus saldos  del 80% y 39.23% respectivamente, registrando así deudas por este concepto en cuantía de $304,1 millones y $227,2 millones.</w:t>
      </w:r>
    </w:p>
    <w:p w:rsidR="003C4D2F" w:rsidRDefault="003C4D2F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3C4D2F" w:rsidRDefault="003C4D2F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3C4D2F" w:rsidRDefault="003C4D2F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BD2CED" w:rsidRDefault="00BD2CED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C1A5D" w:rsidRDefault="004C1A5D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cuanto al patrimonio el Balance General consolidado regist</w:t>
      </w:r>
      <w:r w:rsidR="00703C82">
        <w:rPr>
          <w:rFonts w:ascii="Tahoma" w:hAnsi="Tahoma" w:cs="Tahoma"/>
        </w:rPr>
        <w:t>ra como saldo la suma de $15.598</w:t>
      </w:r>
      <w:r>
        <w:rPr>
          <w:rFonts w:ascii="Tahoma" w:hAnsi="Tahoma" w:cs="Tahoma"/>
        </w:rPr>
        <w:t xml:space="preserve"> </w:t>
      </w:r>
      <w:r w:rsidR="00703C82">
        <w:rPr>
          <w:rFonts w:ascii="Tahoma" w:hAnsi="Tahoma" w:cs="Tahoma"/>
        </w:rPr>
        <w:t>m</w:t>
      </w:r>
      <w:r>
        <w:rPr>
          <w:rFonts w:ascii="Tahoma" w:hAnsi="Tahoma" w:cs="Tahoma"/>
        </w:rPr>
        <w:t>ill</w:t>
      </w:r>
      <w:r w:rsidR="00703C82">
        <w:rPr>
          <w:rFonts w:ascii="Tahoma" w:hAnsi="Tahoma" w:cs="Tahoma"/>
        </w:rPr>
        <w:t xml:space="preserve">ones con un incremento del </w:t>
      </w:r>
      <w:r w:rsidR="008101DC">
        <w:rPr>
          <w:rFonts w:ascii="Tahoma" w:hAnsi="Tahoma" w:cs="Tahoma"/>
        </w:rPr>
        <w:t>14.95</w:t>
      </w:r>
      <w:r>
        <w:rPr>
          <w:rFonts w:ascii="Tahoma" w:hAnsi="Tahoma" w:cs="Tahoma"/>
        </w:rPr>
        <w:t>% frente al valor registrado en la vigencia 2014.</w:t>
      </w:r>
      <w:r w:rsidR="008101DC">
        <w:rPr>
          <w:rFonts w:ascii="Tahoma" w:hAnsi="Tahoma" w:cs="Tahoma"/>
        </w:rPr>
        <w:t xml:space="preserve">  Las cuentas Capital fiscal registró un crecimiento del  43.71%, mientras que el Resultado del Ejercicio disminuyó en un 34.14% finalizando el periodo fiscal en $2.736,8 millones.</w:t>
      </w:r>
    </w:p>
    <w:p w:rsidR="004674EF" w:rsidRPr="00AD4CE9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BC5D7D" w:rsidRDefault="00BC5D7D" w:rsidP="00AD4CE9">
      <w:pPr>
        <w:pStyle w:val="Prrafodelista"/>
        <w:numPr>
          <w:ilvl w:val="0"/>
          <w:numId w:val="50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ESTADO DE ACTIVIDAD FINANCIERA, ECONÓMICA, SOCIAL Y AMBIENTAL COMPARATIVO</w:t>
      </w:r>
    </w:p>
    <w:p w:rsidR="00AD4CE9" w:rsidRDefault="00AD4CE9" w:rsidP="00AD4CE9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2E16BB" w:rsidRDefault="002E16BB" w:rsidP="00AD4CE9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2E16BB" w:rsidRPr="00AD4CE9" w:rsidRDefault="002E16BB" w:rsidP="00AD4CE9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E16EF6" w:rsidRPr="00AD4CE9" w:rsidRDefault="000C4986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 wp14:anchorId="24377709">
            <wp:extent cx="4498975" cy="3066415"/>
            <wp:effectExtent l="0" t="0" r="0" b="63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975" cy="306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5D7D" w:rsidRPr="00AD4CE9" w:rsidRDefault="000C4986" w:rsidP="00AD4CE9">
      <w:pPr>
        <w:spacing w:before="0" w:after="0" w:line="228" w:lineRule="auto"/>
        <w:rPr>
          <w:rFonts w:ascii="Tahoma" w:hAnsi="Tahoma" w:cs="Tahoma"/>
        </w:rPr>
      </w:pPr>
      <w:r w:rsidRPr="000C4986">
        <w:rPr>
          <w:noProof/>
        </w:rPr>
        <w:lastRenderedPageBreak/>
        <w:drawing>
          <wp:inline distT="0" distB="0" distL="0" distR="0" wp14:anchorId="00F02AED" wp14:editId="18AB77C7">
            <wp:extent cx="5613400" cy="6449190"/>
            <wp:effectExtent l="0" t="0" r="6350" b="889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644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EF6" w:rsidRPr="00AD4CE9" w:rsidRDefault="00E16EF6" w:rsidP="00AD4CE9">
      <w:pPr>
        <w:spacing w:before="0" w:after="0" w:line="228" w:lineRule="auto"/>
        <w:rPr>
          <w:rFonts w:ascii="Tahoma" w:hAnsi="Tahoma" w:cs="Tahoma"/>
        </w:rPr>
      </w:pPr>
    </w:p>
    <w:p w:rsidR="00E16EF6" w:rsidRPr="00AD4CE9" w:rsidRDefault="00E16EF6" w:rsidP="00AD4CE9">
      <w:pPr>
        <w:spacing w:before="0" w:after="0" w:line="228" w:lineRule="auto"/>
        <w:rPr>
          <w:rFonts w:ascii="Tahoma" w:hAnsi="Tahoma" w:cs="Tahoma"/>
        </w:rPr>
      </w:pPr>
    </w:p>
    <w:p w:rsidR="00C00307" w:rsidRDefault="00C00307" w:rsidP="00C00307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El Estado de Actividad Fin</w:t>
      </w:r>
      <w:r w:rsidR="000C4986">
        <w:rPr>
          <w:rFonts w:ascii="Tahoma" w:hAnsi="Tahoma" w:cs="Tahoma"/>
        </w:rPr>
        <w:t xml:space="preserve">anciera del Municipio de Venadillo </w:t>
      </w:r>
      <w:r>
        <w:rPr>
          <w:rFonts w:ascii="Tahoma" w:hAnsi="Tahoma" w:cs="Tahoma"/>
        </w:rPr>
        <w:t xml:space="preserve"> a 31-12-2015, </w:t>
      </w:r>
      <w:r w:rsidR="006F3065">
        <w:rPr>
          <w:rFonts w:ascii="Tahoma" w:hAnsi="Tahoma" w:cs="Tahoma"/>
        </w:rPr>
        <w:t xml:space="preserve">registra que </w:t>
      </w:r>
      <w:r>
        <w:rPr>
          <w:rFonts w:ascii="Tahoma" w:hAnsi="Tahoma" w:cs="Tahoma"/>
        </w:rPr>
        <w:t xml:space="preserve"> el ente territorial obtuvo</w:t>
      </w:r>
      <w:r w:rsidR="006F3065">
        <w:rPr>
          <w:rFonts w:ascii="Tahoma" w:hAnsi="Tahoma" w:cs="Tahoma"/>
        </w:rPr>
        <w:t xml:space="preserve"> durante la anualidad 2015, </w:t>
      </w:r>
      <w:r>
        <w:rPr>
          <w:rFonts w:ascii="Tahoma" w:hAnsi="Tahoma" w:cs="Tahoma"/>
        </w:rPr>
        <w:t xml:space="preserve"> ingresos producto de sus oper</w:t>
      </w:r>
      <w:r w:rsidR="006F3065">
        <w:rPr>
          <w:rFonts w:ascii="Tahoma" w:hAnsi="Tahoma" w:cs="Tahoma"/>
        </w:rPr>
        <w:t>aciones  en cuantía de $16.848,1 millones  el (3.12</w:t>
      </w:r>
      <w:r>
        <w:rPr>
          <w:rFonts w:ascii="Tahoma" w:hAnsi="Tahoma" w:cs="Tahoma"/>
        </w:rPr>
        <w:t>%)</w:t>
      </w:r>
      <w:r w:rsidR="00835A68">
        <w:rPr>
          <w:rFonts w:ascii="Tahoma" w:hAnsi="Tahoma" w:cs="Tahoma"/>
        </w:rPr>
        <w:t xml:space="preserve"> más de lo obtenido en la vigencia 2014</w:t>
      </w:r>
      <w:r w:rsidR="006F3065">
        <w:rPr>
          <w:rFonts w:ascii="Tahoma" w:hAnsi="Tahoma" w:cs="Tahoma"/>
        </w:rPr>
        <w:t xml:space="preserve"> cuyo saldo finalizó en $16.338,5</w:t>
      </w:r>
      <w:r w:rsidR="00835A68">
        <w:rPr>
          <w:rFonts w:ascii="Tahoma" w:hAnsi="Tahoma" w:cs="Tahoma"/>
        </w:rPr>
        <w:t xml:space="preserve"> millones.</w:t>
      </w:r>
    </w:p>
    <w:p w:rsidR="006F3065" w:rsidRDefault="006F3065" w:rsidP="00C00307">
      <w:pPr>
        <w:spacing w:before="0" w:after="0" w:line="228" w:lineRule="auto"/>
        <w:jc w:val="both"/>
        <w:rPr>
          <w:rFonts w:ascii="Tahoma" w:hAnsi="Tahoma" w:cs="Tahoma"/>
        </w:rPr>
      </w:pPr>
    </w:p>
    <w:p w:rsidR="006F3065" w:rsidRDefault="006F3065" w:rsidP="00C00307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composición de los ingresos al finalizar la vigencia 2015 es la siguiente:</w:t>
      </w:r>
      <w:r w:rsidR="00B3186B">
        <w:rPr>
          <w:rFonts w:ascii="Tahoma" w:hAnsi="Tahoma" w:cs="Tahoma"/>
        </w:rPr>
        <w:t xml:space="preserve"> El 25.94% ($4.</w:t>
      </w:r>
      <w:r>
        <w:rPr>
          <w:rFonts w:ascii="Tahoma" w:hAnsi="Tahoma" w:cs="Tahoma"/>
        </w:rPr>
        <w:t>3</w:t>
      </w:r>
      <w:r w:rsidR="00B3186B">
        <w:rPr>
          <w:rFonts w:ascii="Tahoma" w:hAnsi="Tahoma" w:cs="Tahoma"/>
        </w:rPr>
        <w:t>7</w:t>
      </w:r>
      <w:r>
        <w:rPr>
          <w:rFonts w:ascii="Tahoma" w:hAnsi="Tahoma" w:cs="Tahoma"/>
        </w:rPr>
        <w:t>0,5 millones) a Ingresos Fiscales, el 70.48% a Transferencias del Orden Nacional que alcanzó como saldo la suma de ($11</w:t>
      </w:r>
      <w:r w:rsidR="00B3186B">
        <w:rPr>
          <w:rFonts w:ascii="Tahoma" w:hAnsi="Tahoma" w:cs="Tahoma"/>
        </w:rPr>
        <w:t>.875 millones) y el 3.57% a “Otros Ingresos”.</w:t>
      </w:r>
      <w:r>
        <w:rPr>
          <w:rFonts w:ascii="Tahoma" w:hAnsi="Tahoma" w:cs="Tahoma"/>
        </w:rPr>
        <w:t xml:space="preserve"> </w:t>
      </w:r>
      <w:r w:rsidR="00B3186B">
        <w:rPr>
          <w:rFonts w:ascii="Tahoma" w:hAnsi="Tahoma" w:cs="Tahoma"/>
        </w:rPr>
        <w:t>De acuerdo con la información anterior se puede evidenciar que las finanzas del municipio dependen de los ingresos provenientes de las transferencias.</w:t>
      </w:r>
    </w:p>
    <w:p w:rsidR="00B3186B" w:rsidRDefault="00B3186B" w:rsidP="00C00307">
      <w:pPr>
        <w:spacing w:before="0" w:after="0" w:line="228" w:lineRule="auto"/>
        <w:jc w:val="both"/>
        <w:rPr>
          <w:rFonts w:ascii="Tahoma" w:hAnsi="Tahoma" w:cs="Tahoma"/>
        </w:rPr>
      </w:pPr>
    </w:p>
    <w:p w:rsidR="00B3186B" w:rsidRDefault="00B3186B" w:rsidP="00C00307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cuanto a los “Ingresos Fiscales”, la cuenta presentó un saldo al cierre de la vigencia 2015 de $4.370,5 millones, cuenta que tuvo entre el 2014 y el 2015 un incremento del  32.98% representados en $1.083,8 millones. Dentro de este grupo el 59.56% ($2.603,3 millones</w:t>
      </w:r>
      <w:r w:rsidR="001310D6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 corresponden a Ingresos Tributarios, cuenta cuyo saldo fue incrementado entre el 2014 y el 2015 en $1.083</w:t>
      </w:r>
      <w:r w:rsidR="00BC0F9D">
        <w:rPr>
          <w:rFonts w:ascii="Tahoma" w:hAnsi="Tahoma" w:cs="Tahoma"/>
        </w:rPr>
        <w:t>,8 millones.  Los Ingresos No Tributarios representan el 40.43% de los Ingresos Fiscales, cuenta que</w:t>
      </w:r>
      <w:r w:rsidR="001310D6">
        <w:rPr>
          <w:rFonts w:ascii="Tahoma" w:hAnsi="Tahoma" w:cs="Tahoma"/>
        </w:rPr>
        <w:t xml:space="preserve"> de igual forma </w:t>
      </w:r>
      <w:r w:rsidR="00BC0F9D">
        <w:rPr>
          <w:rFonts w:ascii="Tahoma" w:hAnsi="Tahoma" w:cs="Tahoma"/>
        </w:rPr>
        <w:t xml:space="preserve"> incremento su saldo en el 65.70% finalizando la vigencia  2015 en $1.767,2 millones.</w:t>
      </w:r>
    </w:p>
    <w:p w:rsidR="00BC0F9D" w:rsidRDefault="00BC0F9D" w:rsidP="00C00307">
      <w:pPr>
        <w:spacing w:before="0" w:after="0" w:line="228" w:lineRule="auto"/>
        <w:jc w:val="both"/>
        <w:rPr>
          <w:rFonts w:ascii="Tahoma" w:hAnsi="Tahoma" w:cs="Tahoma"/>
        </w:rPr>
      </w:pPr>
    </w:p>
    <w:p w:rsidR="00BC0F9D" w:rsidRPr="00BC0F9D" w:rsidRDefault="00BC0F9D" w:rsidP="00BC0F9D">
      <w:pPr>
        <w:jc w:val="both"/>
        <w:rPr>
          <w:rFonts w:ascii="Tahoma" w:eastAsia="Times New Roman" w:hAnsi="Tahoma" w:cs="Tahoma"/>
          <w:color w:val="auto"/>
        </w:rPr>
      </w:pPr>
      <w:r>
        <w:rPr>
          <w:rFonts w:ascii="Tahoma" w:hAnsi="Tahoma" w:cs="Tahoma"/>
        </w:rPr>
        <w:t xml:space="preserve">Las transferencias que ingresaron a las arcas del municipio se contabilizaron en $11.875 millones, saldo que al ser comparado con el de la vigencia 2014, se </w:t>
      </w:r>
      <w:r w:rsidR="00B34A73">
        <w:rPr>
          <w:rFonts w:ascii="Tahoma" w:hAnsi="Tahoma" w:cs="Tahoma"/>
        </w:rPr>
        <w:t xml:space="preserve">establece </w:t>
      </w:r>
      <w:r>
        <w:rPr>
          <w:rFonts w:ascii="Tahoma" w:hAnsi="Tahoma" w:cs="Tahoma"/>
        </w:rPr>
        <w:t xml:space="preserve"> incremento del 4.47</w:t>
      </w:r>
      <w:r w:rsidRPr="00BC0F9D">
        <w:rPr>
          <w:rFonts w:ascii="Tahoma" w:hAnsi="Tahoma" w:cs="Tahoma"/>
        </w:rPr>
        <w:t>% ($</w:t>
      </w:r>
      <w:r w:rsidRPr="00BC0F9D">
        <w:rPr>
          <w:rFonts w:ascii="Tahoma" w:eastAsia="Times New Roman" w:hAnsi="Tahoma" w:cs="Tahoma"/>
          <w:color w:val="auto"/>
        </w:rPr>
        <w:t>507.6 millones)</w:t>
      </w:r>
      <w:r w:rsidR="001310D6">
        <w:rPr>
          <w:rFonts w:ascii="Tahoma" w:eastAsia="Times New Roman" w:hAnsi="Tahoma" w:cs="Tahoma"/>
          <w:color w:val="auto"/>
        </w:rPr>
        <w:t>.</w:t>
      </w:r>
    </w:p>
    <w:p w:rsidR="00BC0F9D" w:rsidRDefault="00BC0F9D" w:rsidP="00C00307">
      <w:pPr>
        <w:spacing w:before="0" w:after="0" w:line="228" w:lineRule="auto"/>
        <w:jc w:val="both"/>
        <w:rPr>
          <w:rFonts w:ascii="Tahoma" w:hAnsi="Tahoma" w:cs="Tahoma"/>
        </w:rPr>
      </w:pPr>
    </w:p>
    <w:p w:rsidR="00835A68" w:rsidRDefault="00BE2799" w:rsidP="00C00307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cuanto a los ingresos provenientes del orden nacional (Sistema General de Participaciones) alcanzó un incremento del 8.96% pasando de $5.743,5  millones en el 2014 a $6.258,3 millones en el 2015.  En cuanto a la distribución de recursos entre los diferentes sectores, se tiene que entre las dos anualidades (2014-2015) existió incrementos porcentuales que oscilaron entre el 4.89%(Alimentación Escolar) y 9.79% (Propósito General), excepto los recursos destinados para Agua Potable y Saneamiento básico que presento reducción del -1.84% pasando de percibir $698,9 millones en el 2014 a $686 millones en el 2015.</w:t>
      </w:r>
    </w:p>
    <w:p w:rsidR="00311394" w:rsidRDefault="00BE2799" w:rsidP="00C00307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311394">
        <w:rPr>
          <w:rFonts w:ascii="Tahoma" w:hAnsi="Tahoma" w:cs="Tahoma"/>
        </w:rPr>
        <w:t xml:space="preserve"> </w:t>
      </w:r>
    </w:p>
    <w:p w:rsidR="00311394" w:rsidRDefault="00311394" w:rsidP="00C00307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Sistema de Regalías por su parte registró al finalizar la vigencia</w:t>
      </w:r>
      <w:r w:rsidR="007A33E1">
        <w:rPr>
          <w:rFonts w:ascii="Tahoma" w:hAnsi="Tahoma" w:cs="Tahoma"/>
        </w:rPr>
        <w:t xml:space="preserve"> 2015 un incremento del 37.80% pasando de $817,9</w:t>
      </w:r>
      <w:r>
        <w:rPr>
          <w:rFonts w:ascii="Tahoma" w:hAnsi="Tahoma" w:cs="Tahoma"/>
        </w:rPr>
        <w:t xml:space="preserve"> millones</w:t>
      </w:r>
      <w:r w:rsidR="007A33E1">
        <w:rPr>
          <w:rFonts w:ascii="Tahoma" w:hAnsi="Tahoma" w:cs="Tahoma"/>
        </w:rPr>
        <w:t xml:space="preserve"> en el 2014  a $1.127,1  millones en el 2015. La distribución por este concepto fue la siguiente: El 85.14% fueron destinados como Asignaciones Directas y el 14.85% para ahorro pensional territorial.</w:t>
      </w:r>
      <w:r>
        <w:rPr>
          <w:rFonts w:ascii="Tahoma" w:hAnsi="Tahoma" w:cs="Tahoma"/>
        </w:rPr>
        <w:t xml:space="preserve"> </w:t>
      </w:r>
    </w:p>
    <w:p w:rsidR="00B93FEE" w:rsidRDefault="00B93FEE" w:rsidP="00C00307">
      <w:pPr>
        <w:spacing w:before="0" w:after="0" w:line="228" w:lineRule="auto"/>
        <w:jc w:val="both"/>
        <w:rPr>
          <w:rFonts w:ascii="Tahoma" w:hAnsi="Tahoma" w:cs="Tahoma"/>
        </w:rPr>
      </w:pPr>
    </w:p>
    <w:p w:rsidR="007A33E1" w:rsidRDefault="007A33E1" w:rsidP="00C00307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Se observa de igual forma que el Municipio</w:t>
      </w:r>
      <w:r w:rsidR="00526B75">
        <w:rPr>
          <w:rFonts w:ascii="Tahoma" w:hAnsi="Tahoma" w:cs="Tahoma"/>
        </w:rPr>
        <w:t xml:space="preserve"> de Venadillo percibió recursos por concepto de Sistema General de Seguridad Social en Salud en el 2015 en cuantía de $2.961,8 millones, situación que se debió al incremento porcentual que tuvo del 3.27% entre las vigencias 2014 y 2015.</w:t>
      </w:r>
    </w:p>
    <w:p w:rsidR="007A33E1" w:rsidRDefault="007A33E1" w:rsidP="00C00307">
      <w:pPr>
        <w:spacing w:before="0" w:after="0" w:line="228" w:lineRule="auto"/>
        <w:jc w:val="both"/>
        <w:rPr>
          <w:rFonts w:ascii="Tahoma" w:hAnsi="Tahoma" w:cs="Tahoma"/>
        </w:rPr>
      </w:pPr>
    </w:p>
    <w:p w:rsidR="00526B75" w:rsidRDefault="00B93FEE" w:rsidP="00C00307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La</w:t>
      </w:r>
      <w:r w:rsidR="00526B7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cuenta</w:t>
      </w:r>
      <w:r w:rsidR="00526B7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“Otros</w:t>
      </w:r>
      <w:r w:rsidR="00526B7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Ingresos”</w:t>
      </w:r>
      <w:r w:rsidR="00526B75">
        <w:rPr>
          <w:rFonts w:ascii="Tahoma" w:hAnsi="Tahoma" w:cs="Tahoma"/>
        </w:rPr>
        <w:t xml:space="preserve">  por el  contrario  presentó  una reducción en su saldo del -64.23% pasando de tener registros en el 2014 de ($1.081,8 millones) a ($602,4 millones) en el 2015</w:t>
      </w:r>
      <w:r w:rsidR="00560CD3">
        <w:rPr>
          <w:rFonts w:ascii="Tahoma" w:hAnsi="Tahoma" w:cs="Tahoma"/>
        </w:rPr>
        <w:t>.</w:t>
      </w:r>
    </w:p>
    <w:p w:rsidR="00526B75" w:rsidRDefault="00526B75" w:rsidP="00C00307">
      <w:pPr>
        <w:spacing w:before="0" w:after="0" w:line="228" w:lineRule="auto"/>
        <w:jc w:val="both"/>
        <w:rPr>
          <w:rFonts w:ascii="Tahoma" w:hAnsi="Tahoma" w:cs="Tahoma"/>
        </w:rPr>
      </w:pPr>
    </w:p>
    <w:p w:rsidR="00C00307" w:rsidRDefault="00526B75" w:rsidP="00560CD3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cuanto a los registros contables de la cuenta Gastos, se pudo determinar que la misma presentó entre las anualidades 2014 y 2015, un incremento porcentual del 15.83% ($1.928,4 millones) pasando de contabilizar en el</w:t>
      </w:r>
      <w:r w:rsidR="00560CD3">
        <w:rPr>
          <w:rFonts w:ascii="Tahoma" w:hAnsi="Tahoma" w:cs="Tahoma"/>
        </w:rPr>
        <w:t xml:space="preserve"> 2014 ($12.182,8 millones) a registrar en el 2015 ($14.111,2 millones).</w:t>
      </w:r>
      <w:r>
        <w:rPr>
          <w:rFonts w:ascii="Tahoma" w:hAnsi="Tahoma" w:cs="Tahoma"/>
        </w:rPr>
        <w:t xml:space="preserve"> </w:t>
      </w:r>
    </w:p>
    <w:p w:rsidR="00560CD3" w:rsidRDefault="00560CD3" w:rsidP="00560CD3">
      <w:pPr>
        <w:spacing w:before="0" w:after="0" w:line="228" w:lineRule="auto"/>
        <w:jc w:val="both"/>
        <w:rPr>
          <w:rFonts w:ascii="Tahoma" w:hAnsi="Tahoma" w:cs="Tahoma"/>
        </w:rPr>
      </w:pPr>
    </w:p>
    <w:p w:rsidR="007810C7" w:rsidRDefault="00560CD3" w:rsidP="007810C7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 cuenta Gasto Público Social, registró contablemente para el 2015 un saldo de $9.563,9 millones, con un incremento porcentual del 21.38%, pasando de registrar gastos en el 2014 de ($7.878,9 millones) a </w:t>
      </w:r>
      <w:r w:rsidR="00B27502">
        <w:rPr>
          <w:rFonts w:ascii="Tahoma" w:hAnsi="Tahoma" w:cs="Tahoma"/>
        </w:rPr>
        <w:t>$9.563,9 millones  en el 2015.</w:t>
      </w:r>
    </w:p>
    <w:p w:rsidR="00B27502" w:rsidRDefault="00B27502" w:rsidP="007810C7">
      <w:pPr>
        <w:spacing w:before="0" w:after="0" w:line="228" w:lineRule="auto"/>
        <w:jc w:val="both"/>
        <w:rPr>
          <w:rFonts w:ascii="Tahoma" w:hAnsi="Tahoma" w:cs="Tahoma"/>
        </w:rPr>
      </w:pPr>
    </w:p>
    <w:p w:rsidR="00B27502" w:rsidRDefault="00B27502" w:rsidP="007810C7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sectores que más contabilizaron  incrementos porcentuales de gastos fueron los siguientes: “Medio Ambiente” (1.181%), “Vivienda (109.31%) y “Educación” (57.23%) y los que tuvieron disminución en la ejecución de recursos fue “Agua Potable (-5.66%) y “Recreación y Deporte” (0.62%).</w:t>
      </w:r>
    </w:p>
    <w:p w:rsidR="00560CD3" w:rsidRDefault="00560CD3" w:rsidP="007810C7">
      <w:pPr>
        <w:spacing w:before="0" w:after="0" w:line="228" w:lineRule="auto"/>
        <w:jc w:val="both"/>
        <w:rPr>
          <w:rFonts w:ascii="Tahoma" w:hAnsi="Tahoma" w:cs="Tahoma"/>
        </w:rPr>
      </w:pPr>
    </w:p>
    <w:p w:rsidR="00560CD3" w:rsidRDefault="00B27502" w:rsidP="007810C7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“OTROS GASTOS”, de igual forma disminuyó la contabilización de los gastos entre el 2014 y 2015 en el -40.29%  pasando de registrar recursos de $131,8 millones en el 2014 a $78,7 millones en el 2015.</w:t>
      </w:r>
    </w:p>
    <w:p w:rsidR="00560CD3" w:rsidRDefault="00560CD3" w:rsidP="007810C7">
      <w:pPr>
        <w:spacing w:before="0" w:after="0" w:line="228" w:lineRule="auto"/>
        <w:jc w:val="both"/>
        <w:rPr>
          <w:rFonts w:ascii="Tahoma" w:hAnsi="Tahoma" w:cs="Tahoma"/>
        </w:rPr>
      </w:pPr>
    </w:p>
    <w:p w:rsidR="00BC5D7D" w:rsidRPr="00AD4CE9" w:rsidRDefault="00814D3D" w:rsidP="00AD4CE9">
      <w:pPr>
        <w:pStyle w:val="Prrafodelista"/>
        <w:numPr>
          <w:ilvl w:val="0"/>
          <w:numId w:val="50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APLICACIÓN DE INDICADORES FINANCIEROS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814D3D" w:rsidP="00AD4CE9">
      <w:pPr>
        <w:pStyle w:val="Prrafodelista"/>
        <w:numPr>
          <w:ilvl w:val="1"/>
          <w:numId w:val="50"/>
        </w:num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Indicadores de liquidez y Solvencia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</w:t>
      </w:r>
      <w:r w:rsidR="00814D3D" w:rsidRPr="00AD4CE9">
        <w:rPr>
          <w:rFonts w:ascii="Tahoma" w:hAnsi="Tahoma" w:cs="Tahoma"/>
        </w:rPr>
        <w:t xml:space="preserve"> Corriente: nos muestra la capacidad que tiene la entidad</w:t>
      </w:r>
      <w:r w:rsidRPr="00AD4CE9"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/ Pasivo Corriente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Activo Corriente: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B27502">
        <w:rPr>
          <w:rFonts w:ascii="Tahoma" w:hAnsi="Tahoma" w:cs="Tahoma"/>
        </w:rPr>
        <w:t>3.395.839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</w:t>
      </w:r>
      <w:r w:rsidR="003D5BDF">
        <w:rPr>
          <w:rFonts w:ascii="Tahoma" w:hAnsi="Tahoma" w:cs="Tahoma"/>
        </w:rPr>
        <w:t xml:space="preserve"> </w:t>
      </w:r>
      <w:r w:rsidR="00D2085B">
        <w:rPr>
          <w:rFonts w:ascii="Tahoma" w:hAnsi="Tahoma" w:cs="Tahoma"/>
        </w:rPr>
        <w:t>1.644.943</w:t>
      </w:r>
    </w:p>
    <w:p w:rsidR="001666F5" w:rsidRPr="00AD4CE9" w:rsidRDefault="001666F5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Deudores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 xml:space="preserve"> </w:t>
      </w:r>
      <w:r w:rsidR="00FC6560">
        <w:rPr>
          <w:rFonts w:ascii="Tahoma" w:hAnsi="Tahoma" w:cs="Tahoma"/>
        </w:rPr>
        <w:t xml:space="preserve">  </w:t>
      </w:r>
      <w:r w:rsidR="00D2085B">
        <w:rPr>
          <w:rFonts w:ascii="Tahoma" w:hAnsi="Tahoma" w:cs="Tahoma"/>
        </w:rPr>
        <w:t xml:space="preserve">   958.527</w:t>
      </w:r>
      <w:r w:rsidR="003D5BDF">
        <w:rPr>
          <w:rFonts w:ascii="Tahoma" w:hAnsi="Tahoma" w:cs="Tahoma"/>
        </w:rPr>
        <w:t xml:space="preserve">    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>----------------</w:t>
      </w:r>
      <w:r w:rsidR="000467A1" w:rsidRPr="00AD4CE9">
        <w:rPr>
          <w:rFonts w:ascii="Tahoma" w:hAnsi="Tahoma" w:cs="Tahoma"/>
        </w:rPr>
        <w:t>----</w:t>
      </w:r>
    </w:p>
    <w:p w:rsidR="001666F5" w:rsidRPr="00AD4CE9" w:rsidRDefault="003D5BDF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FC6560">
        <w:rPr>
          <w:rFonts w:ascii="Tahoma" w:hAnsi="Tahoma" w:cs="Tahoma"/>
        </w:rPr>
        <w:t xml:space="preserve"> $</w:t>
      </w:r>
      <w:r w:rsidR="00D2085B">
        <w:rPr>
          <w:rFonts w:ascii="Tahoma" w:hAnsi="Tahoma" w:cs="Tahoma"/>
        </w:rPr>
        <w:t xml:space="preserve"> 5.999.309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Pasivo Corriente: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Op</w:t>
      </w:r>
      <w:r w:rsidR="000467A1" w:rsidRPr="00AD4CE9">
        <w:rPr>
          <w:rFonts w:ascii="Tahoma" w:hAnsi="Tahoma" w:cs="Tahoma"/>
        </w:rPr>
        <w:t>eracion</w:t>
      </w:r>
      <w:r w:rsidR="003A2D49">
        <w:rPr>
          <w:rFonts w:ascii="Tahoma" w:hAnsi="Tahoma" w:cs="Tahoma"/>
        </w:rPr>
        <w:t xml:space="preserve">es de crédito </w:t>
      </w:r>
      <w:r w:rsidR="00837A3A">
        <w:rPr>
          <w:rFonts w:ascii="Tahoma" w:hAnsi="Tahoma" w:cs="Tahoma"/>
        </w:rPr>
        <w:t>público</w:t>
      </w:r>
      <w:r w:rsidR="003A2D49">
        <w:rPr>
          <w:rFonts w:ascii="Tahoma" w:hAnsi="Tahoma" w:cs="Tahoma"/>
        </w:rPr>
        <w:tab/>
      </w:r>
      <w:r w:rsidR="003A2D49">
        <w:rPr>
          <w:rFonts w:ascii="Tahoma" w:hAnsi="Tahoma" w:cs="Tahoma"/>
        </w:rPr>
        <w:tab/>
      </w:r>
      <w:r w:rsidR="00D2085B">
        <w:rPr>
          <w:rFonts w:ascii="Tahoma" w:hAnsi="Tahoma" w:cs="Tahoma"/>
        </w:rPr>
        <w:t xml:space="preserve">   $460.493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Cuentas por Pagar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="00D2085B">
        <w:rPr>
          <w:rFonts w:ascii="Tahoma" w:hAnsi="Tahoma" w:cs="Tahoma"/>
        </w:rPr>
        <w:t xml:space="preserve">   $532.470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Obligaciones Laborales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="000467A1" w:rsidRPr="00AD4CE9">
        <w:rPr>
          <w:rFonts w:ascii="Tahoma" w:hAnsi="Tahoma" w:cs="Tahoma"/>
        </w:rPr>
        <w:t xml:space="preserve">    </w:t>
      </w:r>
      <w:r w:rsidRPr="00AD4CE9">
        <w:rPr>
          <w:rFonts w:ascii="Tahoma" w:hAnsi="Tahoma" w:cs="Tahoma"/>
        </w:rPr>
        <w:t xml:space="preserve"> </w:t>
      </w:r>
      <w:r w:rsidR="00D2085B">
        <w:rPr>
          <w:rFonts w:ascii="Tahoma" w:hAnsi="Tahoma" w:cs="Tahoma"/>
        </w:rPr>
        <w:t>677.151</w:t>
      </w:r>
    </w:p>
    <w:p w:rsidR="001666F5" w:rsidRPr="00AD4CE9" w:rsidRDefault="000467A1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lastRenderedPageBreak/>
        <w:t xml:space="preserve">    </w:t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 xml:space="preserve">          ---</w:t>
      </w:r>
      <w:r w:rsidR="001666F5" w:rsidRPr="00AD4CE9">
        <w:rPr>
          <w:rFonts w:ascii="Tahoma" w:hAnsi="Tahoma" w:cs="Tahoma"/>
        </w:rPr>
        <w:t>----------------</w:t>
      </w:r>
    </w:p>
    <w:p w:rsidR="001666F5" w:rsidRPr="00AD4CE9" w:rsidRDefault="00D2085B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$1.670.114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3A2D49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Razón Corriente  $</w:t>
      </w:r>
      <w:r w:rsidR="00D2085B">
        <w:rPr>
          <w:rFonts w:ascii="Tahoma" w:hAnsi="Tahoma" w:cs="Tahoma"/>
        </w:rPr>
        <w:t>5.999.309/ $1.670.114</w:t>
      </w:r>
      <w:r w:rsidR="001666F5" w:rsidRPr="00AD4CE9">
        <w:rPr>
          <w:rFonts w:ascii="Tahoma" w:hAnsi="Tahoma" w:cs="Tahoma"/>
        </w:rPr>
        <w:t xml:space="preserve"> = </w:t>
      </w:r>
      <w:r w:rsidR="00D2085B">
        <w:rPr>
          <w:rFonts w:ascii="Tahoma" w:hAnsi="Tahoma" w:cs="Tahoma"/>
        </w:rPr>
        <w:t>3.59</w:t>
      </w:r>
    </w:p>
    <w:p w:rsidR="00A7456E" w:rsidRPr="00AD4CE9" w:rsidRDefault="00A7456E" w:rsidP="00AD4CE9">
      <w:pPr>
        <w:spacing w:before="0" w:after="0" w:line="228" w:lineRule="auto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</w:t>
      </w:r>
      <w:r w:rsidR="00837A3A" w:rsidRPr="00AD4CE9">
        <w:rPr>
          <w:rFonts w:ascii="Tahoma" w:hAnsi="Tahoma" w:cs="Tahoma"/>
        </w:rPr>
        <w:t xml:space="preserve">debe a corto plazo, cuenta con </w:t>
      </w:r>
      <w:r w:rsidR="00D2085B">
        <w:rPr>
          <w:rFonts w:ascii="Tahoma" w:hAnsi="Tahoma" w:cs="Tahoma"/>
        </w:rPr>
        <w:t>3.59</w:t>
      </w:r>
      <w:r w:rsidR="00837A3A" w:rsidRPr="00AD4CE9">
        <w:rPr>
          <w:rFonts w:ascii="Tahoma" w:hAnsi="Tahoma" w:cs="Tahoma"/>
        </w:rPr>
        <w:t xml:space="preserve">  pesos en activos corriente para cubrirlos, lo que significa</w:t>
      </w:r>
      <w:r w:rsidR="00204E7B" w:rsidRPr="00AD4CE9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>que el mencionado munic</w:t>
      </w:r>
      <w:r w:rsidR="008A0D90">
        <w:rPr>
          <w:rFonts w:ascii="Tahoma" w:hAnsi="Tahoma" w:cs="Tahoma"/>
        </w:rPr>
        <w:t xml:space="preserve">ipio refleja liquidez </w:t>
      </w:r>
      <w:r w:rsidRPr="00AD4CE9">
        <w:rPr>
          <w:rFonts w:ascii="Tahoma" w:hAnsi="Tahoma" w:cs="Tahoma"/>
        </w:rPr>
        <w:t xml:space="preserve"> para cubrir sus pasivos de corto plazo.</w:t>
      </w:r>
    </w:p>
    <w:p w:rsidR="008A0D90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CAPITAL NETO DE TRABAJO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5717EB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– Pasivo Corriente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D2085B" w:rsidP="008A0D90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$5.999.309- $1.670.114</w:t>
      </w:r>
      <w:r w:rsidR="006D315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=$4.329.195</w:t>
      </w:r>
      <w:r w:rsidR="006D3150">
        <w:rPr>
          <w:rFonts w:ascii="Tahoma" w:hAnsi="Tahoma" w:cs="Tahom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indica que el ente territorial cuenta con suficientes recursos propios para operar.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NIVEL DE ENDEUDAMIENTO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Este indicador nos presenta el porcentaje de participación de los acreedores dentro de los activos del ente territorial.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Pasivo Total con Terceros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D3150" w:rsidRDefault="00D2085B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$1.670.114/$18.130.434= 9.21</w:t>
      </w:r>
      <w:r w:rsidR="005717EB">
        <w:rPr>
          <w:rFonts w:ascii="Tahoma" w:hAnsi="Tahoma" w:cs="Tahoma"/>
        </w:rPr>
        <w:t>%</w:t>
      </w:r>
    </w:p>
    <w:p w:rsidR="006D3150" w:rsidRPr="00AD4CE9" w:rsidRDefault="006D315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nos indica que del total de activos que posee el municipio, el </w:t>
      </w:r>
      <w:r w:rsidR="00D2085B">
        <w:rPr>
          <w:rFonts w:ascii="Tahoma" w:hAnsi="Tahoma" w:cs="Tahoma"/>
        </w:rPr>
        <w:t>9.21</w:t>
      </w:r>
      <w:r w:rsidRPr="00AD4CE9">
        <w:rPr>
          <w:rFonts w:ascii="Tahoma" w:hAnsi="Tahoma" w:cs="Tahoma"/>
        </w:rPr>
        <w:t>% está siendo financiado por los acreedores.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 DEL PATRIMONIO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Nos muestra hasta </w:t>
      </w:r>
      <w:r w:rsidR="009F3F48" w:rsidRPr="00AD4CE9">
        <w:rPr>
          <w:rFonts w:ascii="Tahoma" w:hAnsi="Tahoma" w:cs="Tahoma"/>
        </w:rPr>
        <w:t>qué</w:t>
      </w:r>
      <w:r w:rsidRPr="00AD4CE9">
        <w:rPr>
          <w:rFonts w:ascii="Tahoma" w:hAnsi="Tahoma" w:cs="Tahoma"/>
        </w:rPr>
        <w:t xml:space="preserve"> punto la entidad territorial tiene independencia financiera ante sus acreedores, se determina dividiendo el valor del patrimonio entre el activo total.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Patrimonio Total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764ABD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$</w:t>
      </w:r>
      <w:r w:rsidR="00D2085B">
        <w:rPr>
          <w:rFonts w:ascii="Tahoma" w:hAnsi="Tahoma" w:cs="Tahoma"/>
        </w:rPr>
        <w:t>15.598.030</w:t>
      </w:r>
      <w:r w:rsidR="006D3150">
        <w:rPr>
          <w:rFonts w:ascii="Tahoma" w:hAnsi="Tahoma" w:cs="Tahoma"/>
        </w:rPr>
        <w:t xml:space="preserve"> /</w:t>
      </w:r>
      <w:r w:rsidR="00D2085B">
        <w:rPr>
          <w:rFonts w:ascii="Tahoma" w:hAnsi="Tahoma" w:cs="Tahoma"/>
        </w:rPr>
        <w:t>$18.130.434</w:t>
      </w:r>
      <w:r w:rsidR="005A36ED" w:rsidRPr="00AD4CE9">
        <w:rPr>
          <w:rFonts w:ascii="Tahoma" w:hAnsi="Tahoma" w:cs="Tahoma"/>
        </w:rPr>
        <w:t xml:space="preserve"> </w:t>
      </w:r>
      <w:r w:rsidR="00D2085B">
        <w:rPr>
          <w:rFonts w:ascii="Tahoma" w:hAnsi="Tahoma" w:cs="Tahoma"/>
        </w:rPr>
        <w:t>= 86</w:t>
      </w:r>
      <w:r w:rsidR="00C26152">
        <w:rPr>
          <w:rFonts w:ascii="Tahoma" w:hAnsi="Tahoma" w:cs="Tahoma"/>
        </w:rPr>
        <w:t>%</w:t>
      </w: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porcentaje establecido a</w:t>
      </w:r>
      <w:r w:rsidR="00402C3D">
        <w:rPr>
          <w:rFonts w:ascii="Tahoma" w:hAnsi="Tahoma" w:cs="Tahoma"/>
        </w:rPr>
        <w:t>nter</w:t>
      </w:r>
      <w:r w:rsidR="00D2085B">
        <w:rPr>
          <w:rFonts w:ascii="Tahoma" w:hAnsi="Tahoma" w:cs="Tahoma"/>
        </w:rPr>
        <w:t>iormente nos indica que el 86</w:t>
      </w:r>
      <w:r w:rsidRPr="00AD4CE9">
        <w:rPr>
          <w:rFonts w:ascii="Tahoma" w:hAnsi="Tahoma" w:cs="Tahoma"/>
        </w:rPr>
        <w:t>% de los activos, están siendo financiados con capital propio.</w:t>
      </w:r>
    </w:p>
    <w:p w:rsidR="006756E8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2E16BB" w:rsidRPr="00AD4CE9" w:rsidRDefault="002E16BB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6756E8" w:rsidP="00AD4CE9">
      <w:pPr>
        <w:pStyle w:val="Prrafodelista"/>
        <w:numPr>
          <w:ilvl w:val="0"/>
          <w:numId w:val="50"/>
        </w:numPr>
        <w:spacing w:before="0" w:after="0" w:line="228" w:lineRule="auto"/>
        <w:jc w:val="both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CONCEPTUALIZACION SO</w:t>
      </w:r>
      <w:r w:rsidR="00402C3D">
        <w:rPr>
          <w:rFonts w:ascii="Tahoma" w:hAnsi="Tahoma" w:cs="Tahoma"/>
          <w:b/>
        </w:rPr>
        <w:t>BRE LOS ESTADOS FINANCIEROS 2015</w:t>
      </w:r>
    </w:p>
    <w:p w:rsidR="006756E8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2E16BB" w:rsidRPr="00AD4CE9" w:rsidRDefault="002E16BB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D2085B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municipio de Venadillo </w:t>
      </w:r>
      <w:r w:rsidR="00402C3D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 xml:space="preserve"> de</w:t>
      </w:r>
      <w:r w:rsidR="005A36ED" w:rsidRPr="00AD4CE9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 xml:space="preserve">acuerdo con su Balance General terminado en la fecha, se observa que sus activos totales crecieron un </w:t>
      </w:r>
      <w:r>
        <w:rPr>
          <w:rFonts w:ascii="Tahoma" w:hAnsi="Tahoma" w:cs="Tahoma"/>
        </w:rPr>
        <w:t>12.11</w:t>
      </w:r>
      <w:r w:rsidR="00402C3D">
        <w:rPr>
          <w:rFonts w:ascii="Tahoma" w:hAnsi="Tahoma" w:cs="Tahoma"/>
        </w:rPr>
        <w:t>% en la suma de  $</w:t>
      </w:r>
      <w:r>
        <w:rPr>
          <w:rFonts w:ascii="Tahoma" w:hAnsi="Tahoma" w:cs="Tahoma"/>
        </w:rPr>
        <w:t xml:space="preserve">1.958,4 </w:t>
      </w:r>
      <w:r w:rsidR="00402C3D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>(mi</w:t>
      </w:r>
      <w:r w:rsidR="00402C3D">
        <w:rPr>
          <w:rFonts w:ascii="Tahoma" w:hAnsi="Tahoma" w:cs="Tahoma"/>
        </w:rPr>
        <w:t>l</w:t>
      </w:r>
      <w:r w:rsidR="006756E8" w:rsidRPr="00AD4CE9">
        <w:rPr>
          <w:rFonts w:ascii="Tahoma" w:hAnsi="Tahoma" w:cs="Tahoma"/>
        </w:rPr>
        <w:t xml:space="preserve">es de </w:t>
      </w:r>
      <w:r w:rsidR="00402C3D">
        <w:rPr>
          <w:rFonts w:ascii="Tahoma" w:hAnsi="Tahoma" w:cs="Tahoma"/>
        </w:rPr>
        <w:t>$), con relación al periodo 2014</w:t>
      </w:r>
      <w:r w:rsidR="006756E8" w:rsidRPr="00AD4CE9">
        <w:rPr>
          <w:rFonts w:ascii="Tahoma" w:hAnsi="Tahoma" w:cs="Tahoma"/>
        </w:rPr>
        <w:t>, reflejados en las cuentas Depósitos en Instituciones Financieras y Deudores.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F31A31" w:rsidRDefault="00F31A31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 patrimonio creció un 14.95</w:t>
      </w:r>
      <w:r w:rsidR="006756E8" w:rsidRPr="00AD4CE9">
        <w:rPr>
          <w:rFonts w:ascii="Tahoma" w:hAnsi="Tahoma" w:cs="Tahoma"/>
        </w:rPr>
        <w:t xml:space="preserve">%, apalancado principalmente por la cuenta </w:t>
      </w:r>
      <w:r>
        <w:rPr>
          <w:rFonts w:ascii="Tahoma" w:hAnsi="Tahoma" w:cs="Tahoma"/>
        </w:rPr>
        <w:t>de Hacienda Pública que presento  el mismo incremento porcentual del 14.95%.</w:t>
      </w:r>
    </w:p>
    <w:p w:rsidR="00AD4CE9" w:rsidRPr="00AD4CE9" w:rsidRDefault="00F31A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 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Su estructura financiera al </w:t>
      </w:r>
      <w:r w:rsidR="00402C3D">
        <w:rPr>
          <w:rFonts w:ascii="Tahoma" w:hAnsi="Tahoma" w:cs="Tahoma"/>
        </w:rPr>
        <w:t>cierre del periodo contable 2015</w:t>
      </w:r>
      <w:r w:rsidR="00F31A31">
        <w:rPr>
          <w:rFonts w:ascii="Tahoma" w:hAnsi="Tahoma" w:cs="Tahoma"/>
        </w:rPr>
        <w:t>, estaba representada en el 13.96% los pasivos y el 86.04</w:t>
      </w:r>
      <w:r w:rsidRPr="00AD4CE9">
        <w:rPr>
          <w:rFonts w:ascii="Tahoma" w:hAnsi="Tahoma" w:cs="Tahoma"/>
        </w:rPr>
        <w:t>% el patrimonio.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77425F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municipio present</w:t>
      </w:r>
      <w:r w:rsidR="00F31A31">
        <w:rPr>
          <w:rFonts w:ascii="Tahoma" w:hAnsi="Tahoma" w:cs="Tahoma"/>
        </w:rPr>
        <w:t xml:space="preserve">a un nivel de endeudamiento alto </w:t>
      </w:r>
      <w:r w:rsidRPr="00AD4CE9">
        <w:rPr>
          <w:rFonts w:ascii="Tahoma" w:hAnsi="Tahoma" w:cs="Tahoma"/>
        </w:rPr>
        <w:t xml:space="preserve"> respecto al total de sus activos, alcanzando un margen del </w:t>
      </w:r>
      <w:r w:rsidR="00F31A31">
        <w:rPr>
          <w:rFonts w:ascii="Tahoma" w:hAnsi="Tahoma" w:cs="Tahoma"/>
        </w:rPr>
        <w:t>9.21</w:t>
      </w:r>
      <w:r w:rsidRPr="00AD4CE9">
        <w:rPr>
          <w:rFonts w:ascii="Tahoma" w:hAnsi="Tahoma" w:cs="Tahoma"/>
        </w:rPr>
        <w:t>%.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De acuerdo con los resultados de sus indicadores </w:t>
      </w:r>
      <w:r w:rsidR="00C83948" w:rsidRPr="00AD4CE9">
        <w:rPr>
          <w:rFonts w:ascii="Tahoma" w:hAnsi="Tahoma" w:cs="Tahoma"/>
        </w:rPr>
        <w:t>podemo</w:t>
      </w:r>
      <w:r w:rsidR="00273691">
        <w:rPr>
          <w:rFonts w:ascii="Tahoma" w:hAnsi="Tahoma" w:cs="Tahoma"/>
        </w:rPr>
        <w:t>s concl</w:t>
      </w:r>
      <w:r w:rsidR="00F31A31">
        <w:rPr>
          <w:rFonts w:ascii="Tahoma" w:hAnsi="Tahoma" w:cs="Tahoma"/>
        </w:rPr>
        <w:t xml:space="preserve">uir que el municipio de Venadillo </w:t>
      </w:r>
      <w:r w:rsidR="00C83948" w:rsidRPr="00AD4CE9">
        <w:rPr>
          <w:rFonts w:ascii="Tahoma" w:hAnsi="Tahoma" w:cs="Tahoma"/>
        </w:rPr>
        <w:t>al corte del 3</w:t>
      </w:r>
      <w:r w:rsidR="00273691">
        <w:rPr>
          <w:rFonts w:ascii="Tahoma" w:hAnsi="Tahoma" w:cs="Tahoma"/>
        </w:rPr>
        <w:t>1</w:t>
      </w:r>
      <w:r w:rsidR="00402C3D">
        <w:rPr>
          <w:rFonts w:ascii="Tahoma" w:hAnsi="Tahoma" w:cs="Tahoma"/>
        </w:rPr>
        <w:t xml:space="preserve"> de diciembre de 2015</w:t>
      </w:r>
      <w:r w:rsidR="00C83948" w:rsidRPr="00AD4CE9">
        <w:rPr>
          <w:rFonts w:ascii="Tahoma" w:hAnsi="Tahoma" w:cs="Tahoma"/>
        </w:rPr>
        <w:t>, presentaba una situación financiera favorable.</w:t>
      </w:r>
    </w:p>
    <w:sectPr w:rsidR="00A7456E" w:rsidRPr="00AD4CE9" w:rsidSect="00B005CC">
      <w:headerReference w:type="default" r:id="rId11"/>
      <w:footerReference w:type="default" r:id="rId12"/>
      <w:pgSz w:w="12242" w:h="15842" w:code="1"/>
      <w:pgMar w:top="2376" w:right="1701" w:bottom="2268" w:left="1701" w:header="18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E0E" w:rsidRDefault="001F1E0E" w:rsidP="00650A99">
      <w:r>
        <w:separator/>
      </w:r>
    </w:p>
  </w:endnote>
  <w:endnote w:type="continuationSeparator" w:id="0">
    <w:p w:rsidR="001F1E0E" w:rsidRDefault="001F1E0E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Pr="00070555" w:rsidRDefault="002F54E8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15670A9" wp14:editId="0C2CC9D5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Pr="003205FF" w:rsidRDefault="00440EAB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="003205FF"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6F4A40" w:rsidRPr="006F4A40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6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="003205FF"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6F4A40" w:rsidRPr="006F4A40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9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5670A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DD0981" w:rsidRPr="003205FF" w:rsidRDefault="00440EAB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="003205FF"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6F4A40" w:rsidRPr="006F4A40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6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="003205FF"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6F4A40" w:rsidRPr="006F4A40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9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D4799F7" wp14:editId="2EEA6B4E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Default="00DD09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4799F7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DD0981" w:rsidRDefault="00DD0981"/>
                </w:txbxContent>
              </v:textbox>
            </v:shape>
          </w:pict>
        </mc:Fallback>
      </mc:AlternateContent>
    </w:r>
  </w:p>
  <w:p w:rsidR="00DD0981" w:rsidRPr="00070555" w:rsidRDefault="002F54E8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2234941" wp14:editId="4EBE2C1D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3205FF" w:rsidRPr="003205FF" w:rsidRDefault="006F4A40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3205FF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DD0981" w:rsidRPr="000352F0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DD0981" w:rsidRPr="00A926CE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234941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3205FF" w:rsidRPr="003205FF" w:rsidRDefault="006F4A40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3205FF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DD0981" w:rsidRPr="000352F0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DD0981" w:rsidRPr="00A926CE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E0E" w:rsidRDefault="001F1E0E" w:rsidP="00650A99">
      <w:r>
        <w:separator/>
      </w:r>
    </w:p>
  </w:footnote>
  <w:footnote w:type="continuationSeparator" w:id="0">
    <w:p w:rsidR="001F1E0E" w:rsidRDefault="001F1E0E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Default="00B005CC">
    <w:pPr>
      <w:pStyle w:val="Encabezado"/>
    </w:pPr>
    <w:r>
      <w:rPr>
        <w:noProof/>
      </w:rPr>
      <w:drawing>
        <wp:inline distT="0" distB="0" distL="0" distR="0" wp14:anchorId="5CE3DB59" wp14:editId="2C62DA39">
          <wp:extent cx="1571625" cy="1219200"/>
          <wp:effectExtent l="0" t="0" r="952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167CA"/>
    <w:rsid w:val="00025419"/>
    <w:rsid w:val="0003468E"/>
    <w:rsid w:val="000352F0"/>
    <w:rsid w:val="00043E5E"/>
    <w:rsid w:val="00044B50"/>
    <w:rsid w:val="000467A1"/>
    <w:rsid w:val="000479B3"/>
    <w:rsid w:val="0005757F"/>
    <w:rsid w:val="00062A7C"/>
    <w:rsid w:val="00063566"/>
    <w:rsid w:val="00070555"/>
    <w:rsid w:val="0007281C"/>
    <w:rsid w:val="00073152"/>
    <w:rsid w:val="000732A3"/>
    <w:rsid w:val="00074463"/>
    <w:rsid w:val="00074EF9"/>
    <w:rsid w:val="00081AAB"/>
    <w:rsid w:val="00084FFA"/>
    <w:rsid w:val="000913E2"/>
    <w:rsid w:val="000A4FDA"/>
    <w:rsid w:val="000A5F72"/>
    <w:rsid w:val="000B2584"/>
    <w:rsid w:val="000C4986"/>
    <w:rsid w:val="000C4AD6"/>
    <w:rsid w:val="000C640F"/>
    <w:rsid w:val="000C699D"/>
    <w:rsid w:val="000D2062"/>
    <w:rsid w:val="000D715E"/>
    <w:rsid w:val="000E117C"/>
    <w:rsid w:val="000E1460"/>
    <w:rsid w:val="000E42DA"/>
    <w:rsid w:val="000E46FA"/>
    <w:rsid w:val="000F17B4"/>
    <w:rsid w:val="000F4FA1"/>
    <w:rsid w:val="001077DC"/>
    <w:rsid w:val="00124F58"/>
    <w:rsid w:val="001301DF"/>
    <w:rsid w:val="001310D6"/>
    <w:rsid w:val="00131E4E"/>
    <w:rsid w:val="00132C47"/>
    <w:rsid w:val="0013431C"/>
    <w:rsid w:val="001361E3"/>
    <w:rsid w:val="0014091C"/>
    <w:rsid w:val="001531E5"/>
    <w:rsid w:val="00154430"/>
    <w:rsid w:val="001605A0"/>
    <w:rsid w:val="00160B31"/>
    <w:rsid w:val="001666F5"/>
    <w:rsid w:val="0017250D"/>
    <w:rsid w:val="001A5473"/>
    <w:rsid w:val="001B7E9B"/>
    <w:rsid w:val="001D0B0B"/>
    <w:rsid w:val="001D30AE"/>
    <w:rsid w:val="001E0386"/>
    <w:rsid w:val="001E19D5"/>
    <w:rsid w:val="001E2459"/>
    <w:rsid w:val="001E6C74"/>
    <w:rsid w:val="001F1E0E"/>
    <w:rsid w:val="001F3E0C"/>
    <w:rsid w:val="00203B8E"/>
    <w:rsid w:val="002049C5"/>
    <w:rsid w:val="00204E7B"/>
    <w:rsid w:val="00216974"/>
    <w:rsid w:val="00224140"/>
    <w:rsid w:val="00226503"/>
    <w:rsid w:val="002467D6"/>
    <w:rsid w:val="00250B2A"/>
    <w:rsid w:val="00254A87"/>
    <w:rsid w:val="002608D4"/>
    <w:rsid w:val="00267A53"/>
    <w:rsid w:val="002702FE"/>
    <w:rsid w:val="00273691"/>
    <w:rsid w:val="002751D2"/>
    <w:rsid w:val="002855A9"/>
    <w:rsid w:val="00293B22"/>
    <w:rsid w:val="00293DE7"/>
    <w:rsid w:val="00294FB6"/>
    <w:rsid w:val="00297AD1"/>
    <w:rsid w:val="002A5283"/>
    <w:rsid w:val="002B4B10"/>
    <w:rsid w:val="002C24CB"/>
    <w:rsid w:val="002C31ED"/>
    <w:rsid w:val="002D03DF"/>
    <w:rsid w:val="002D3A88"/>
    <w:rsid w:val="002D62AF"/>
    <w:rsid w:val="002E1436"/>
    <w:rsid w:val="002E16BB"/>
    <w:rsid w:val="002E7240"/>
    <w:rsid w:val="002F54E8"/>
    <w:rsid w:val="003026A2"/>
    <w:rsid w:val="00303824"/>
    <w:rsid w:val="00306CC6"/>
    <w:rsid w:val="00311394"/>
    <w:rsid w:val="003205FF"/>
    <w:rsid w:val="00321EC8"/>
    <w:rsid w:val="003305B2"/>
    <w:rsid w:val="00332DE4"/>
    <w:rsid w:val="00334968"/>
    <w:rsid w:val="00341B3E"/>
    <w:rsid w:val="00351487"/>
    <w:rsid w:val="00356B3F"/>
    <w:rsid w:val="00367CB1"/>
    <w:rsid w:val="00372F40"/>
    <w:rsid w:val="00375CC7"/>
    <w:rsid w:val="0039183D"/>
    <w:rsid w:val="00391C14"/>
    <w:rsid w:val="00397766"/>
    <w:rsid w:val="003A2D49"/>
    <w:rsid w:val="003A5822"/>
    <w:rsid w:val="003B11DD"/>
    <w:rsid w:val="003B72A8"/>
    <w:rsid w:val="003B7F8F"/>
    <w:rsid w:val="003C0774"/>
    <w:rsid w:val="003C4D2F"/>
    <w:rsid w:val="003C5E57"/>
    <w:rsid w:val="003C7505"/>
    <w:rsid w:val="003D499A"/>
    <w:rsid w:val="003D5BDF"/>
    <w:rsid w:val="003E25A9"/>
    <w:rsid w:val="003F5E08"/>
    <w:rsid w:val="00402C3D"/>
    <w:rsid w:val="004032C1"/>
    <w:rsid w:val="00407637"/>
    <w:rsid w:val="004120E2"/>
    <w:rsid w:val="0042652E"/>
    <w:rsid w:val="00426FB0"/>
    <w:rsid w:val="00430D77"/>
    <w:rsid w:val="00440EAB"/>
    <w:rsid w:val="00452E65"/>
    <w:rsid w:val="00454B8B"/>
    <w:rsid w:val="00461871"/>
    <w:rsid w:val="00466271"/>
    <w:rsid w:val="0046718C"/>
    <w:rsid w:val="004674EF"/>
    <w:rsid w:val="00467508"/>
    <w:rsid w:val="00467595"/>
    <w:rsid w:val="00480FCA"/>
    <w:rsid w:val="0048203B"/>
    <w:rsid w:val="0049303C"/>
    <w:rsid w:val="00496461"/>
    <w:rsid w:val="004A00E3"/>
    <w:rsid w:val="004B3739"/>
    <w:rsid w:val="004C10FE"/>
    <w:rsid w:val="004C1A5D"/>
    <w:rsid w:val="004C250E"/>
    <w:rsid w:val="004C27B6"/>
    <w:rsid w:val="004E17F3"/>
    <w:rsid w:val="004E3F57"/>
    <w:rsid w:val="004E585C"/>
    <w:rsid w:val="004F2F93"/>
    <w:rsid w:val="004F4C50"/>
    <w:rsid w:val="00500401"/>
    <w:rsid w:val="00506345"/>
    <w:rsid w:val="00516E68"/>
    <w:rsid w:val="00520FA4"/>
    <w:rsid w:val="0052650A"/>
    <w:rsid w:val="00526B75"/>
    <w:rsid w:val="005279E8"/>
    <w:rsid w:val="00551920"/>
    <w:rsid w:val="00552A0E"/>
    <w:rsid w:val="005565B1"/>
    <w:rsid w:val="00556949"/>
    <w:rsid w:val="00560B0C"/>
    <w:rsid w:val="00560CA3"/>
    <w:rsid w:val="00560CD3"/>
    <w:rsid w:val="00562B5C"/>
    <w:rsid w:val="00563F32"/>
    <w:rsid w:val="005717EB"/>
    <w:rsid w:val="00585BCF"/>
    <w:rsid w:val="00585ED0"/>
    <w:rsid w:val="00590A7E"/>
    <w:rsid w:val="005916D2"/>
    <w:rsid w:val="00595ED2"/>
    <w:rsid w:val="005A36ED"/>
    <w:rsid w:val="005A4F01"/>
    <w:rsid w:val="005B6F12"/>
    <w:rsid w:val="005C163A"/>
    <w:rsid w:val="005C3743"/>
    <w:rsid w:val="005D533E"/>
    <w:rsid w:val="005D66B0"/>
    <w:rsid w:val="005E1DE9"/>
    <w:rsid w:val="005E5E78"/>
    <w:rsid w:val="005F356A"/>
    <w:rsid w:val="00603AAD"/>
    <w:rsid w:val="00605900"/>
    <w:rsid w:val="006068E9"/>
    <w:rsid w:val="006074FF"/>
    <w:rsid w:val="00617A76"/>
    <w:rsid w:val="00617E98"/>
    <w:rsid w:val="00630301"/>
    <w:rsid w:val="00644A95"/>
    <w:rsid w:val="00650A99"/>
    <w:rsid w:val="00652DA3"/>
    <w:rsid w:val="0065368E"/>
    <w:rsid w:val="00654211"/>
    <w:rsid w:val="006612B7"/>
    <w:rsid w:val="00670D69"/>
    <w:rsid w:val="00672971"/>
    <w:rsid w:val="00672DB2"/>
    <w:rsid w:val="006756E8"/>
    <w:rsid w:val="0067758A"/>
    <w:rsid w:val="00682027"/>
    <w:rsid w:val="00687B70"/>
    <w:rsid w:val="00692975"/>
    <w:rsid w:val="006A5FCB"/>
    <w:rsid w:val="006B765E"/>
    <w:rsid w:val="006C051C"/>
    <w:rsid w:val="006D20E4"/>
    <w:rsid w:val="006D2B4A"/>
    <w:rsid w:val="006D3150"/>
    <w:rsid w:val="006F3065"/>
    <w:rsid w:val="006F4A40"/>
    <w:rsid w:val="00700DB0"/>
    <w:rsid w:val="0070120A"/>
    <w:rsid w:val="00703C82"/>
    <w:rsid w:val="007062D9"/>
    <w:rsid w:val="00706545"/>
    <w:rsid w:val="00743A53"/>
    <w:rsid w:val="00745063"/>
    <w:rsid w:val="00747180"/>
    <w:rsid w:val="00754337"/>
    <w:rsid w:val="00764ABD"/>
    <w:rsid w:val="00770276"/>
    <w:rsid w:val="00770ADC"/>
    <w:rsid w:val="00771928"/>
    <w:rsid w:val="00773282"/>
    <w:rsid w:val="0077425F"/>
    <w:rsid w:val="007810C7"/>
    <w:rsid w:val="00796DDA"/>
    <w:rsid w:val="007A33E1"/>
    <w:rsid w:val="007A3608"/>
    <w:rsid w:val="007B4882"/>
    <w:rsid w:val="007B70F7"/>
    <w:rsid w:val="007C4270"/>
    <w:rsid w:val="007F7C04"/>
    <w:rsid w:val="00800EEF"/>
    <w:rsid w:val="008036D7"/>
    <w:rsid w:val="008101DC"/>
    <w:rsid w:val="00814D3D"/>
    <w:rsid w:val="00815D0B"/>
    <w:rsid w:val="00820529"/>
    <w:rsid w:val="00821EDD"/>
    <w:rsid w:val="00827082"/>
    <w:rsid w:val="00832014"/>
    <w:rsid w:val="008326D2"/>
    <w:rsid w:val="00835A68"/>
    <w:rsid w:val="00837A3A"/>
    <w:rsid w:val="00862966"/>
    <w:rsid w:val="00872CA8"/>
    <w:rsid w:val="008761A0"/>
    <w:rsid w:val="00897455"/>
    <w:rsid w:val="008A0D33"/>
    <w:rsid w:val="008A0D90"/>
    <w:rsid w:val="008A1B70"/>
    <w:rsid w:val="008A5D7F"/>
    <w:rsid w:val="008E2ADB"/>
    <w:rsid w:val="008E40B7"/>
    <w:rsid w:val="008E6775"/>
    <w:rsid w:val="008F6815"/>
    <w:rsid w:val="009058D0"/>
    <w:rsid w:val="00907660"/>
    <w:rsid w:val="00914565"/>
    <w:rsid w:val="00921D04"/>
    <w:rsid w:val="00926B45"/>
    <w:rsid w:val="009339AC"/>
    <w:rsid w:val="00934CE3"/>
    <w:rsid w:val="00942761"/>
    <w:rsid w:val="00942F02"/>
    <w:rsid w:val="00943029"/>
    <w:rsid w:val="009471EB"/>
    <w:rsid w:val="00957662"/>
    <w:rsid w:val="009606B3"/>
    <w:rsid w:val="00966EAD"/>
    <w:rsid w:val="00990B51"/>
    <w:rsid w:val="00991F22"/>
    <w:rsid w:val="009C0615"/>
    <w:rsid w:val="009C2E8D"/>
    <w:rsid w:val="009D7ECE"/>
    <w:rsid w:val="009F0EF0"/>
    <w:rsid w:val="009F3F48"/>
    <w:rsid w:val="009F7C62"/>
    <w:rsid w:val="00A04FA7"/>
    <w:rsid w:val="00A2447F"/>
    <w:rsid w:val="00A32BD8"/>
    <w:rsid w:val="00A34FD5"/>
    <w:rsid w:val="00A43B37"/>
    <w:rsid w:val="00A44F64"/>
    <w:rsid w:val="00A47CA0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22C9"/>
    <w:rsid w:val="00AA75DD"/>
    <w:rsid w:val="00AB37B1"/>
    <w:rsid w:val="00AC2B0C"/>
    <w:rsid w:val="00AC6DD0"/>
    <w:rsid w:val="00AD4CE9"/>
    <w:rsid w:val="00AD56DB"/>
    <w:rsid w:val="00AE45E6"/>
    <w:rsid w:val="00AF71D3"/>
    <w:rsid w:val="00B005CC"/>
    <w:rsid w:val="00B0252C"/>
    <w:rsid w:val="00B11E2E"/>
    <w:rsid w:val="00B179EC"/>
    <w:rsid w:val="00B17D06"/>
    <w:rsid w:val="00B21A6F"/>
    <w:rsid w:val="00B229DE"/>
    <w:rsid w:val="00B235FD"/>
    <w:rsid w:val="00B245DE"/>
    <w:rsid w:val="00B258AA"/>
    <w:rsid w:val="00B27502"/>
    <w:rsid w:val="00B3186B"/>
    <w:rsid w:val="00B34497"/>
    <w:rsid w:val="00B34A73"/>
    <w:rsid w:val="00B430BE"/>
    <w:rsid w:val="00B5291B"/>
    <w:rsid w:val="00B6023B"/>
    <w:rsid w:val="00B6483D"/>
    <w:rsid w:val="00B65897"/>
    <w:rsid w:val="00B7024B"/>
    <w:rsid w:val="00B74F06"/>
    <w:rsid w:val="00B773B4"/>
    <w:rsid w:val="00B83BF2"/>
    <w:rsid w:val="00B83C6E"/>
    <w:rsid w:val="00B8540B"/>
    <w:rsid w:val="00B93FEE"/>
    <w:rsid w:val="00B97673"/>
    <w:rsid w:val="00BB2EB5"/>
    <w:rsid w:val="00BB3D88"/>
    <w:rsid w:val="00BC0F9D"/>
    <w:rsid w:val="00BC5D7D"/>
    <w:rsid w:val="00BC6235"/>
    <w:rsid w:val="00BD2CED"/>
    <w:rsid w:val="00BD3082"/>
    <w:rsid w:val="00BE2799"/>
    <w:rsid w:val="00BE325A"/>
    <w:rsid w:val="00C00307"/>
    <w:rsid w:val="00C0423C"/>
    <w:rsid w:val="00C06948"/>
    <w:rsid w:val="00C20CA8"/>
    <w:rsid w:val="00C26152"/>
    <w:rsid w:val="00C276A2"/>
    <w:rsid w:val="00C334D1"/>
    <w:rsid w:val="00C35423"/>
    <w:rsid w:val="00C36BE7"/>
    <w:rsid w:val="00C404DC"/>
    <w:rsid w:val="00C43064"/>
    <w:rsid w:val="00C54674"/>
    <w:rsid w:val="00C6336F"/>
    <w:rsid w:val="00C661A2"/>
    <w:rsid w:val="00C6685D"/>
    <w:rsid w:val="00C70370"/>
    <w:rsid w:val="00C81FC2"/>
    <w:rsid w:val="00C83948"/>
    <w:rsid w:val="00C86E28"/>
    <w:rsid w:val="00CA340D"/>
    <w:rsid w:val="00CB47E0"/>
    <w:rsid w:val="00CC0170"/>
    <w:rsid w:val="00CC38D6"/>
    <w:rsid w:val="00CC74DC"/>
    <w:rsid w:val="00CD5CCB"/>
    <w:rsid w:val="00CE3D10"/>
    <w:rsid w:val="00CE6524"/>
    <w:rsid w:val="00CF0493"/>
    <w:rsid w:val="00CF6745"/>
    <w:rsid w:val="00D2085B"/>
    <w:rsid w:val="00D42439"/>
    <w:rsid w:val="00D718F8"/>
    <w:rsid w:val="00D71C09"/>
    <w:rsid w:val="00D774B6"/>
    <w:rsid w:val="00D81436"/>
    <w:rsid w:val="00DA07E0"/>
    <w:rsid w:val="00DA76D0"/>
    <w:rsid w:val="00DB2278"/>
    <w:rsid w:val="00DD0981"/>
    <w:rsid w:val="00DD5CA9"/>
    <w:rsid w:val="00E00EAB"/>
    <w:rsid w:val="00E04173"/>
    <w:rsid w:val="00E06024"/>
    <w:rsid w:val="00E16EF6"/>
    <w:rsid w:val="00E35BA6"/>
    <w:rsid w:val="00E37DA4"/>
    <w:rsid w:val="00E438FA"/>
    <w:rsid w:val="00E44E11"/>
    <w:rsid w:val="00E562E9"/>
    <w:rsid w:val="00E745B9"/>
    <w:rsid w:val="00E80CF1"/>
    <w:rsid w:val="00EC5776"/>
    <w:rsid w:val="00ED18CB"/>
    <w:rsid w:val="00F067EF"/>
    <w:rsid w:val="00F11CE8"/>
    <w:rsid w:val="00F152E9"/>
    <w:rsid w:val="00F31A31"/>
    <w:rsid w:val="00F413A2"/>
    <w:rsid w:val="00F57D5F"/>
    <w:rsid w:val="00F64422"/>
    <w:rsid w:val="00F74A4C"/>
    <w:rsid w:val="00FA4C6D"/>
    <w:rsid w:val="00FB1D70"/>
    <w:rsid w:val="00FC25B8"/>
    <w:rsid w:val="00FC413F"/>
    <w:rsid w:val="00FC6560"/>
    <w:rsid w:val="00FC7146"/>
    <w:rsid w:val="00FD1869"/>
    <w:rsid w:val="00FD52EC"/>
    <w:rsid w:val="00FE438F"/>
    <w:rsid w:val="00FE5384"/>
    <w:rsid w:val="00FF5EDB"/>
    <w:rsid w:val="00FF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840820A8-1766-472C-B6F8-3E6701E7F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Lida%20Fernanda\Desktop\informe%20fiscal%20y%20financiero\informe%20fiscal%20y%20financiero\Venadillo\Cuadro%20Comparativo.xls" TargetMode="External"/><Relationship Id="rId1" Type="http://schemas.openxmlformats.org/officeDocument/2006/relationships/image" Target="../media/image2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CO" sz="1400"/>
              <a:t>Balance General Comparativo </a:t>
            </a:r>
          </a:p>
          <a:p>
            <a:pPr>
              <a:defRPr/>
            </a:pPr>
            <a:r>
              <a:rPr lang="es-CO" sz="1400" b="0"/>
              <a:t>(miles de pesos)</a:t>
            </a:r>
          </a:p>
        </c:rich>
      </c:tx>
      <c:layout/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Graficas!$B$3</c:f>
              <c:strCache>
                <c:ptCount val="1"/>
                <c:pt idx="0">
                  <c:v>2015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Graficas!$B$4:$B$6</c:f>
              <c:numCache>
                <c:formatCode>#,##0</c:formatCode>
                <c:ptCount val="3"/>
                <c:pt idx="0">
                  <c:v>18130434</c:v>
                </c:pt>
                <c:pt idx="1">
                  <c:v>2532404</c:v>
                </c:pt>
                <c:pt idx="2">
                  <c:v>15598030</c:v>
                </c:pt>
              </c:numCache>
            </c:numRef>
          </c:val>
        </c:ser>
        <c:ser>
          <c:idx val="1"/>
          <c:order val="1"/>
          <c:tx>
            <c:strRef>
              <c:f>Graficas!$C$3</c:f>
              <c:strCache>
                <c:ptCount val="1"/>
                <c:pt idx="0">
                  <c:v>2014</c:v>
                </c:pt>
              </c:strCache>
            </c:strRef>
          </c:tx>
          <c:invertIfNegative val="0"/>
          <c:dLbls>
            <c:dLbl>
              <c:idx val="0"/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1666666666666664E-2"/>
                  <c:y val="1.8518518518518517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Graficas!$C$4:$C$6</c:f>
              <c:numCache>
                <c:formatCode>#,##0</c:formatCode>
                <c:ptCount val="3"/>
                <c:pt idx="0">
                  <c:v>16172010</c:v>
                </c:pt>
                <c:pt idx="1">
                  <c:v>2602376</c:v>
                </c:pt>
                <c:pt idx="2">
                  <c:v>13569634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91092288"/>
        <c:axId val="1291103168"/>
        <c:axId val="0"/>
      </c:bar3DChart>
      <c:catAx>
        <c:axId val="12910922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s-CO"/>
          </a:p>
        </c:txPr>
        <c:crossAx val="1291103168"/>
        <c:crosses val="autoZero"/>
        <c:auto val="1"/>
        <c:lblAlgn val="ctr"/>
        <c:lblOffset val="100"/>
        <c:noMultiLvlLbl val="0"/>
      </c:catAx>
      <c:valAx>
        <c:axId val="1291103168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s-CO"/>
          </a:p>
        </c:txPr>
        <c:crossAx val="129109228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9</Pages>
  <Words>1836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19</cp:revision>
  <cp:lastPrinted>2016-12-25T22:07:00Z</cp:lastPrinted>
  <dcterms:created xsi:type="dcterms:W3CDTF">2015-09-24T21:09:00Z</dcterms:created>
  <dcterms:modified xsi:type="dcterms:W3CDTF">2016-12-25T22:07:00Z</dcterms:modified>
</cp:coreProperties>
</file>